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p w:rsidR="00206A7F" w:rsidRPr="00206A7F" w:rsidP="00206A7F" w14:paraId="35D92832" w14:textId="77777777">
      <w:pPr>
        <w:spacing w:after="0" w:line="240" w:lineRule="auto"/>
        <w:jc w:val="center"/>
        <w:rPr>
          <w:rFonts w:ascii="Book Antiqua" w:eastAsia="Calibri" w:hAnsi="Book Antiqua" w:cs="Times New Roman"/>
          <w:b/>
          <w:kern w:val="0"/>
          <w14:ligatures w14:val="none"/>
        </w:rPr>
      </w:pPr>
      <w:r w:rsidRPr="00206A7F">
        <w:rPr>
          <w:rFonts w:ascii="Book Antiqua" w:eastAsia="Calibri" w:hAnsi="Book Antiqua" w:cs="Times New Roman"/>
          <w:b/>
          <w:kern w:val="0"/>
          <w14:ligatures w14:val="none"/>
        </w:rPr>
        <w:t>TITLE IX</w:t>
      </w:r>
    </w:p>
    <w:p w:rsidR="00206A7F" w:rsidRPr="00206A7F" w:rsidP="00206A7F" w14:paraId="66E7CF11" w14:textId="77777777">
      <w:pPr>
        <w:spacing w:after="0" w:line="240" w:lineRule="auto"/>
        <w:ind w:left="540"/>
        <w:jc w:val="center"/>
        <w:rPr>
          <w:rFonts w:ascii="Book Antiqua" w:eastAsia="Calibri" w:hAnsi="Book Antiqua" w:cs="Times New Roman"/>
          <w:b/>
          <w:color w:val="1F497D"/>
          <w:kern w:val="0"/>
          <w:u w:val="single"/>
          <w14:ligatures w14:val="none"/>
        </w:rPr>
      </w:pPr>
    </w:p>
    <w:p w:rsidR="00206A7F" w:rsidRPr="00206A7F" w:rsidP="00206A7F" w14:paraId="65FFB543" w14:textId="77777777">
      <w:pPr>
        <w:spacing w:after="240" w:line="240" w:lineRule="auto"/>
        <w:rPr>
          <w:rFonts w:ascii="Book Antiqua" w:eastAsia="Calibri" w:hAnsi="Book Antiqua" w:cs="Times New Roman"/>
          <w:bCs/>
          <w:kern w:val="0"/>
          <w14:ligatures w14:val="none"/>
        </w:rPr>
      </w:pPr>
      <w:r w:rsidRPr="00206A7F">
        <w:rPr>
          <w:rFonts w:ascii="Book Antiqua" w:eastAsia="Calibri" w:hAnsi="Book Antiqua" w:cs="Times New Roman"/>
          <w:bCs/>
          <w:kern w:val="0"/>
          <w14:ligatures w14:val="none"/>
        </w:rPr>
        <w:t xml:space="preserve">Title IX of the Education Amendments of 1972 (“Title IX”) is a federal law that was passed to ensure students and staff, regardless of their sex, are treated equally and fairly.  Title IX prohibits discrimination on the basis of sex, which includes sexual harassment, in any of the education programs or activities of John Adams Academies </w:t>
      </w:r>
      <w:r w:rsidRPr="00206A7F">
        <w:rPr>
          <w:rFonts w:ascii="Book Antiqua" w:eastAsia="Aptos" w:hAnsi="Book Antiqua" w:cs="Times New Roman"/>
          <w:kern w:val="0"/>
          <w14:ligatures w14:val="none"/>
        </w:rPr>
        <w:t>(“JAA”)</w:t>
      </w:r>
      <w:r w:rsidRPr="00206A7F">
        <w:rPr>
          <w:rFonts w:ascii="Book Antiqua" w:eastAsia="Calibri" w:hAnsi="Book Antiqua" w:cs="Times New Roman"/>
          <w:bCs/>
          <w:kern w:val="0"/>
          <w14:ligatures w14:val="none"/>
        </w:rPr>
        <w:t>.  Specifically, Title IX provides that:</w:t>
      </w:r>
    </w:p>
    <w:p w:rsidR="00206A7F" w:rsidRPr="00206A7F" w:rsidP="00206A7F" w14:paraId="1DD9AF5F" w14:textId="77777777">
      <w:pPr>
        <w:spacing w:after="0" w:line="240" w:lineRule="auto"/>
        <w:ind w:left="540"/>
        <w:rPr>
          <w:rFonts w:ascii="Book Antiqua" w:eastAsia="Calibri" w:hAnsi="Book Antiqua" w:cs="Times New Roman"/>
          <w:b/>
          <w:bCs/>
          <w:kern w:val="0"/>
          <w:u w:val="single"/>
          <w14:ligatures w14:val="none"/>
        </w:rPr>
      </w:pPr>
      <w:r w:rsidRPr="00206A7F">
        <w:rPr>
          <w:rFonts w:ascii="Book Antiqua" w:eastAsia="Calibri" w:hAnsi="Book Antiqua" w:cs="Times New Roman"/>
          <w:bCs/>
          <w:iCs/>
          <w:kern w:val="0"/>
          <w14:ligatures w14:val="none"/>
        </w:rPr>
        <w:t>No person in the United States shall, on the basis of sex, be excluded from participation in, be denied the benefits of, or be subjected to discrimination under any education program or activity receiving Federal financial assistance.</w:t>
      </w:r>
      <w:r w:rsidRPr="00206A7F">
        <w:rPr>
          <w:rFonts w:ascii="Book Antiqua" w:eastAsia="Calibri" w:hAnsi="Book Antiqua" w:cs="Times New Roman"/>
          <w:b/>
          <w:color w:val="1F497D"/>
          <w:kern w:val="0"/>
          <w:u w:val="single"/>
          <w14:ligatures w14:val="none"/>
        </w:rPr>
        <w:br/>
      </w:r>
    </w:p>
    <w:p w:rsidR="00206A7F" w:rsidRPr="00206A7F" w:rsidP="00206A7F" w14:paraId="432995CB" w14:textId="77777777">
      <w:pPr>
        <w:spacing w:after="0" w:line="240" w:lineRule="auto"/>
        <w:rPr>
          <w:rFonts w:ascii="Book Antiqua" w:eastAsia="Calibri" w:hAnsi="Book Antiqua" w:cs="Times New Roman"/>
          <w:b/>
          <w:bCs/>
          <w:kern w:val="0"/>
          <w:u w:val="single"/>
          <w14:ligatures w14:val="none"/>
        </w:rPr>
      </w:pPr>
      <w:r w:rsidRPr="00206A7F">
        <w:rPr>
          <w:rFonts w:ascii="Book Antiqua" w:eastAsia="Calibri" w:hAnsi="Book Antiqua" w:cs="Times New Roman"/>
          <w:b/>
          <w:bCs/>
          <w:kern w:val="0"/>
          <w:u w:val="single"/>
          <w14:ligatures w14:val="none"/>
        </w:rPr>
        <w:t>Who is the Title IX Coordinator for JAA?</w:t>
      </w:r>
    </w:p>
    <w:p w:rsidR="00206A7F" w:rsidRPr="00206A7F" w:rsidP="00206A7F" w14:paraId="2D64751F" w14:textId="77777777">
      <w:pPr>
        <w:spacing w:after="0" w:line="240" w:lineRule="auto"/>
        <w:rPr>
          <w:rFonts w:ascii="Book Antiqua" w:eastAsia="Calibri" w:hAnsi="Book Antiqua" w:cs="Times New Roman"/>
          <w:kern w:val="0"/>
          <w:highlight w:val="yellow"/>
          <w14:ligatures w14:val="none"/>
        </w:rPr>
      </w:pPr>
    </w:p>
    <w:p w:rsidR="00206A7F" w:rsidRPr="00206A7F" w:rsidP="00206A7F" w14:paraId="01EE0114"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 xml:space="preserve">JAA has designated the following individual as its Title IX Coordinator: </w:t>
      </w:r>
    </w:p>
    <w:p w:rsidR="00206A7F" w:rsidRPr="00206A7F" w:rsidP="00206A7F" w14:paraId="22AC1570" w14:textId="77777777">
      <w:pPr>
        <w:spacing w:after="0" w:line="240" w:lineRule="auto"/>
        <w:rPr>
          <w:rFonts w:ascii="Book Antiqua" w:eastAsia="Calibri" w:hAnsi="Book Antiqua" w:cs="Times New Roman"/>
          <w:kern w:val="0"/>
          <w:highlight w:val="yellow"/>
          <w14:ligatures w14:val="none"/>
        </w:rPr>
      </w:pPr>
    </w:p>
    <w:p w:rsidR="00206A7F" w:rsidRPr="00206A7F" w:rsidP="00206A7F" w14:paraId="3EBF33DF" w14:textId="77777777">
      <w:pPr>
        <w:spacing w:after="0" w:line="240" w:lineRule="auto"/>
        <w:jc w:val="center"/>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Troy Henke</w:t>
      </w:r>
    </w:p>
    <w:p w:rsidR="00206A7F" w:rsidRPr="00206A7F" w:rsidP="00206A7F" w14:paraId="4835B5BF" w14:textId="77777777">
      <w:pPr>
        <w:spacing w:after="0" w:line="240" w:lineRule="auto"/>
        <w:jc w:val="center"/>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Superintendent</w:t>
      </w:r>
    </w:p>
    <w:p w:rsidR="00206A7F" w:rsidRPr="00206A7F" w:rsidP="00206A7F" w14:paraId="4F8A4205" w14:textId="4E2079B4">
      <w:pPr>
        <w:spacing w:after="0" w:line="240" w:lineRule="auto"/>
        <w:jc w:val="center"/>
        <w:rPr>
          <w:rFonts w:ascii="Book Antiqua" w:eastAsia="Calibri" w:hAnsi="Book Antiqua" w:cs="Times New Roman"/>
          <w:kern w:val="0"/>
          <w14:ligatures w14:val="none"/>
        </w:rPr>
      </w:pPr>
      <w:r>
        <w:rPr>
          <w:rFonts w:ascii="Book Antiqua" w:eastAsia="Calibri" w:hAnsi="Book Antiqua" w:cs="Times New Roman"/>
          <w:kern w:val="0"/>
          <w14:ligatures w14:val="none"/>
        </w:rPr>
        <w:t>5</w:t>
      </w:r>
      <w:r w:rsidRPr="00206A7F">
        <w:rPr>
          <w:rFonts w:ascii="Book Antiqua" w:eastAsia="Calibri" w:hAnsi="Book Antiqua" w:cs="Times New Roman"/>
          <w:kern w:val="0"/>
          <w14:ligatures w14:val="none"/>
        </w:rPr>
        <w:t xml:space="preserve"> Sierra Gate Plaza, Roseville, CA 95</w:t>
      </w:r>
      <w:r>
        <w:rPr>
          <w:rFonts w:ascii="Book Antiqua" w:eastAsia="Calibri" w:hAnsi="Book Antiqua" w:cs="Times New Roman"/>
          <w:kern w:val="0"/>
          <w14:ligatures w14:val="none"/>
        </w:rPr>
        <w:t>678</w:t>
      </w:r>
    </w:p>
    <w:p w:rsidR="00206A7F" w:rsidRPr="00206A7F" w:rsidP="00206A7F" w14:paraId="0613874C" w14:textId="77777777">
      <w:pPr>
        <w:spacing w:after="0" w:line="240" w:lineRule="auto"/>
        <w:jc w:val="center"/>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916-780-6800</w:t>
      </w:r>
    </w:p>
    <w:p w:rsidR="00206A7F" w:rsidRPr="00206A7F" w:rsidP="00206A7F" w14:paraId="363A1B0B" w14:textId="77777777">
      <w:pPr>
        <w:spacing w:after="0" w:line="240" w:lineRule="auto"/>
        <w:jc w:val="center"/>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Troy.Henke@johnadamsacademy.org</w:t>
      </w:r>
    </w:p>
    <w:p w:rsidR="00206A7F" w:rsidRPr="00206A7F" w:rsidP="00206A7F" w14:paraId="6E2C43D1" w14:textId="77777777">
      <w:pPr>
        <w:spacing w:after="0" w:line="240" w:lineRule="auto"/>
        <w:jc w:val="center"/>
        <w:rPr>
          <w:rFonts w:ascii="Book Antiqua" w:eastAsia="Times New Roman" w:hAnsi="Book Antiqua" w:cs="Times New Roman"/>
          <w:bCs/>
          <w:kern w:val="0"/>
          <w14:ligatures w14:val="none"/>
        </w:rPr>
      </w:pPr>
    </w:p>
    <w:p w:rsidR="00206A7F" w:rsidRPr="00206A7F" w:rsidP="00206A7F" w14:paraId="3332AC6D"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b/>
          <w:bCs/>
          <w:kern w:val="0"/>
          <w:u w:val="single"/>
          <w14:ligatures w14:val="none"/>
        </w:rPr>
        <w:t>How may I file a complaint of discrimination under Title IX?</w:t>
      </w:r>
    </w:p>
    <w:p w:rsidR="00206A7F" w:rsidRPr="00206A7F" w:rsidP="00206A7F" w14:paraId="3A0DA30C" w14:textId="77777777">
      <w:pPr>
        <w:spacing w:after="0" w:line="240" w:lineRule="auto"/>
        <w:rPr>
          <w:rFonts w:ascii="Book Antiqua" w:eastAsia="Calibri" w:hAnsi="Book Antiqua" w:cs="Times New Roman"/>
          <w:kern w:val="0"/>
          <w14:ligatures w14:val="none"/>
        </w:rPr>
      </w:pPr>
    </w:p>
    <w:p w:rsidR="00206A7F" w:rsidRPr="00206A7F" w:rsidP="00206A7F" w14:paraId="3834C7D8"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 xml:space="preserve">You may file a complaint of discrimination on the basis of sex, including sexual harassment, by contacting </w:t>
      </w:r>
      <w:r w:rsidRPr="00206A7F">
        <w:rPr>
          <w:rFonts w:ascii="Book Antiqua" w:eastAsia="Calibri" w:hAnsi="Book Antiqua" w:cs="Times New Roman"/>
          <w:bCs/>
          <w:kern w:val="0"/>
          <w14:ligatures w14:val="none"/>
        </w:rPr>
        <w:t>JAA’s</w:t>
      </w:r>
      <w:r w:rsidRPr="00206A7F">
        <w:rPr>
          <w:rFonts w:ascii="Book Antiqua" w:eastAsia="Calibri" w:hAnsi="Book Antiqua" w:cs="Times New Roman"/>
          <w:kern w:val="0"/>
          <w14:ligatures w14:val="none"/>
        </w:rPr>
        <w:t xml:space="preserve"> Title IX Coordinator.  A report of sexual harassment as defined under the Title IX regulations can be made to any </w:t>
      </w:r>
      <w:r w:rsidRPr="00206A7F">
        <w:rPr>
          <w:rFonts w:ascii="Book Antiqua" w:eastAsia="Calibri" w:hAnsi="Book Antiqua" w:cs="Times New Roman"/>
          <w:bCs/>
          <w:kern w:val="0"/>
          <w14:ligatures w14:val="none"/>
        </w:rPr>
        <w:t>JAA</w:t>
      </w:r>
      <w:r w:rsidRPr="00206A7F">
        <w:rPr>
          <w:rFonts w:ascii="Book Antiqua" w:eastAsia="Calibri" w:hAnsi="Book Antiqua" w:cs="Times New Roman"/>
          <w:kern w:val="0"/>
          <w14:ligatures w14:val="none"/>
        </w:rPr>
        <w:t xml:space="preserve"> employee.</w:t>
      </w:r>
    </w:p>
    <w:p w:rsidR="00206A7F" w:rsidRPr="00206A7F" w:rsidP="00206A7F" w14:paraId="5BE3840E"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 </w:t>
      </w:r>
    </w:p>
    <w:p w:rsidR="00206A7F" w:rsidRPr="00206A7F" w:rsidP="00206A7F" w14:paraId="424DFE14"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Otherwise, a discrimination complaint may be filed with the Office for Civil Rights:</w:t>
      </w:r>
    </w:p>
    <w:p w:rsidR="00206A7F" w:rsidRPr="00206A7F" w:rsidP="00206A7F" w14:paraId="45191BCF"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 </w:t>
      </w:r>
    </w:p>
    <w:p w:rsidR="00206A7F" w:rsidRPr="00206A7F" w:rsidP="00206A7F" w14:paraId="6F4CA62B" w14:textId="77777777">
      <w:pPr>
        <w:spacing w:after="0" w:line="240" w:lineRule="auto"/>
        <w:jc w:val="center"/>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U.S. Department of Education</w:t>
      </w:r>
    </w:p>
    <w:p w:rsidR="00206A7F" w:rsidRPr="00206A7F" w:rsidP="00206A7F" w14:paraId="6A8FB4E2" w14:textId="77777777">
      <w:pPr>
        <w:spacing w:after="0" w:line="240" w:lineRule="auto"/>
        <w:jc w:val="center"/>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Office for Civil Rights</w:t>
      </w:r>
    </w:p>
    <w:p w:rsidR="00206A7F" w:rsidRPr="00206A7F" w:rsidP="00206A7F" w14:paraId="261B2648" w14:textId="77777777">
      <w:pPr>
        <w:spacing w:after="0" w:line="240" w:lineRule="auto"/>
        <w:jc w:val="center"/>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Lyndon Baines Johnson Department of Education Bldg.</w:t>
      </w:r>
      <w:r w:rsidRPr="00206A7F">
        <w:rPr>
          <w:rFonts w:ascii="Book Antiqua" w:eastAsia="Calibri" w:hAnsi="Book Antiqua" w:cs="Times New Roman"/>
          <w:kern w:val="0"/>
          <w14:ligatures w14:val="none"/>
        </w:rPr>
        <w:br/>
        <w:t>400 Maryland Avenue, SW</w:t>
      </w:r>
      <w:r w:rsidRPr="00206A7F">
        <w:rPr>
          <w:rFonts w:ascii="Book Antiqua" w:eastAsia="Calibri" w:hAnsi="Book Antiqua" w:cs="Times New Roman"/>
          <w:kern w:val="0"/>
          <w14:ligatures w14:val="none"/>
        </w:rPr>
        <w:br/>
        <w:t>Washington, DC 20202-1100</w:t>
      </w:r>
    </w:p>
    <w:p w:rsidR="00206A7F" w:rsidRPr="00206A7F" w:rsidP="00206A7F" w14:paraId="7A986C5F" w14:textId="77777777">
      <w:pPr>
        <w:spacing w:after="0" w:line="240" w:lineRule="auto"/>
        <w:jc w:val="center"/>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800-421-3481</w:t>
      </w:r>
    </w:p>
    <w:p w:rsidR="00206A7F" w:rsidRPr="00206A7F" w:rsidP="00206A7F" w14:paraId="44827F02" w14:textId="77777777">
      <w:pPr>
        <w:spacing w:after="0" w:line="240" w:lineRule="auto"/>
        <w:jc w:val="center"/>
        <w:rPr>
          <w:rFonts w:ascii="Book Antiqua" w:eastAsia="Calibri" w:hAnsi="Book Antiqua" w:cs="Times New Roman"/>
          <w:color w:val="467886"/>
          <w:kern w:val="0"/>
          <w14:ligatures w14:val="none"/>
        </w:rPr>
      </w:pPr>
      <w:hyperlink r:id="rId5" w:history="1">
        <w:r w:rsidRPr="00206A7F">
          <w:rPr>
            <w:rFonts w:ascii="Book Antiqua" w:eastAsia="Calibri" w:hAnsi="Book Antiqua" w:cs="Times New Roman"/>
            <w:color w:val="467886"/>
            <w:kern w:val="0"/>
            <w:u w:val="single"/>
            <w14:ligatures w14:val="none"/>
          </w:rPr>
          <w:t>OCR@ed.gov</w:t>
        </w:r>
      </w:hyperlink>
      <w:r w:rsidRPr="00206A7F">
        <w:rPr>
          <w:rFonts w:ascii="Book Antiqua" w:eastAsia="Calibri" w:hAnsi="Book Antiqua" w:cs="Times New Roman"/>
          <w:color w:val="467886"/>
          <w:kern w:val="0"/>
          <w14:ligatures w14:val="none"/>
        </w:rPr>
        <w:t xml:space="preserve"> </w:t>
      </w:r>
    </w:p>
    <w:p w:rsidR="00206A7F" w:rsidRPr="00206A7F" w:rsidP="00206A7F" w14:paraId="5D4F4B5D"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 </w:t>
      </w:r>
    </w:p>
    <w:p w:rsidR="00206A7F" w:rsidRPr="00206A7F" w:rsidP="00206A7F" w14:paraId="460B0E3E" w14:textId="77777777">
      <w:pPr>
        <w:spacing w:after="0" w:line="240" w:lineRule="auto"/>
        <w:rPr>
          <w:rFonts w:ascii="Book Antiqua" w:eastAsia="Calibri" w:hAnsi="Book Antiqua" w:cs="Times New Roman"/>
          <w:color w:val="467886"/>
          <w:kern w:val="0"/>
          <w:u w:val="single"/>
          <w14:ligatures w14:val="none"/>
        </w:rPr>
      </w:pPr>
      <w:hyperlink r:id="rId6" w:history="1">
        <w:r w:rsidRPr="00206A7F">
          <w:rPr>
            <w:rFonts w:ascii="Book Antiqua" w:eastAsia="Calibri" w:hAnsi="Book Antiqua" w:cs="Times New Roman"/>
            <w:color w:val="467886"/>
            <w:kern w:val="0"/>
            <w:u w:val="single"/>
            <w14:ligatures w14:val="none"/>
          </w:rPr>
          <w:t>United States Department of Education Office for Civil Rights Complaint Form</w:t>
        </w:r>
      </w:hyperlink>
    </w:p>
    <w:p w:rsidR="00206A7F" w:rsidRPr="00206A7F" w:rsidP="00206A7F" w14:paraId="312E4A19" w14:textId="77777777">
      <w:pPr>
        <w:spacing w:after="0" w:line="240" w:lineRule="auto"/>
        <w:rPr>
          <w:rFonts w:ascii="Book Antiqua" w:eastAsia="Calibri" w:hAnsi="Book Antiqua" w:cs="Times New Roman"/>
          <w:color w:val="1F497D"/>
          <w:kern w:val="0"/>
          <w14:ligatures w14:val="none"/>
        </w:rPr>
      </w:pPr>
    </w:p>
    <w:p w:rsidR="00206A7F" w:rsidRPr="00206A7F" w:rsidP="00206A7F" w14:paraId="57DD784C" w14:textId="77777777">
      <w:pPr>
        <w:spacing w:after="0" w:line="240" w:lineRule="auto"/>
        <w:rPr>
          <w:rFonts w:ascii="Book Antiqua" w:eastAsia="Calibri" w:hAnsi="Book Antiqua" w:cs="Times New Roman"/>
          <w:color w:val="1F497D"/>
          <w:kern w:val="0"/>
          <w14:ligatures w14:val="none"/>
        </w:rPr>
      </w:pPr>
      <w:hyperlink r:id="rId7" w:history="1">
        <w:r w:rsidRPr="00206A7F">
          <w:rPr>
            <w:rFonts w:ascii="Book Antiqua" w:eastAsia="Calibri" w:hAnsi="Book Antiqua" w:cs="Times New Roman"/>
            <w:color w:val="467886"/>
            <w:kern w:val="0"/>
            <w:u w:val="single"/>
            <w14:ligatures w14:val="none"/>
          </w:rPr>
          <w:t>United States Department of Education Office for Civil Rights Complaint Assessment System</w:t>
        </w:r>
      </w:hyperlink>
    </w:p>
    <w:p w:rsidR="00206A7F" w:rsidRPr="00206A7F" w:rsidP="00206A7F" w14:paraId="665CE5EE" w14:textId="77777777">
      <w:pPr>
        <w:spacing w:after="0" w:line="240" w:lineRule="auto"/>
        <w:rPr>
          <w:rFonts w:ascii="Book Antiqua" w:eastAsia="Calibri" w:hAnsi="Book Antiqua" w:cs="Times New Roman"/>
          <w:b/>
          <w:bCs/>
          <w:kern w:val="0"/>
          <w:u w:val="single"/>
          <w14:ligatures w14:val="none"/>
        </w:rPr>
      </w:pPr>
    </w:p>
    <w:p w:rsidR="00206A7F" w:rsidRPr="00206A7F" w:rsidP="00206A7F" w14:paraId="14EDD200"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b/>
          <w:bCs/>
          <w:kern w:val="0"/>
          <w:u w:val="single"/>
          <w14:ligatures w14:val="none"/>
        </w:rPr>
        <w:t>Is there a statute of limitations for filing an alleged incident of harassment or discrimination?</w:t>
      </w:r>
    </w:p>
    <w:p w:rsidR="00206A7F" w:rsidRPr="00206A7F" w:rsidP="00206A7F" w14:paraId="029E0B1E" w14:textId="77777777">
      <w:pPr>
        <w:spacing w:after="0" w:line="240" w:lineRule="auto"/>
        <w:rPr>
          <w:rFonts w:ascii="Book Antiqua" w:eastAsia="Calibri" w:hAnsi="Book Antiqua" w:cs="Times New Roman"/>
          <w:kern w:val="0"/>
          <w14:ligatures w14:val="none"/>
        </w:rPr>
      </w:pPr>
    </w:p>
    <w:p w:rsidR="00206A7F" w:rsidRPr="00206A7F" w:rsidP="00206A7F" w14:paraId="041D2B75"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 xml:space="preserve">Consistent with </w:t>
      </w:r>
      <w:r w:rsidRPr="00206A7F">
        <w:rPr>
          <w:rFonts w:ascii="Book Antiqua" w:eastAsia="Calibri" w:hAnsi="Book Antiqua" w:cs="Times New Roman"/>
          <w:bCs/>
          <w:kern w:val="0"/>
          <w14:ligatures w14:val="none"/>
        </w:rPr>
        <w:t>JAA’s</w:t>
      </w:r>
      <w:r w:rsidRPr="00206A7F">
        <w:rPr>
          <w:rFonts w:ascii="Book Antiqua" w:eastAsia="Calibri" w:hAnsi="Book Antiqua" w:cs="Times New Roman"/>
          <w:kern w:val="0"/>
          <w14:ligatures w14:val="none"/>
        </w:rPr>
        <w:t xml:space="preserve"> Uniform Complaint Procedures (“UCP”), </w:t>
      </w:r>
      <w:r w:rsidRPr="00206A7F">
        <w:rPr>
          <w:rFonts w:ascii="Book Antiqua" w:eastAsia="Aptos" w:hAnsi="Book Antiqua" w:cs="Times New Roman"/>
          <w:kern w:val="0"/>
          <w14:ligatures w14:val="none"/>
        </w:rPr>
        <w:t xml:space="preserve">a complaint alleging unlawful discrimination, harassment, intimidation, or bullying must be filed no later than </w:t>
      </w:r>
      <w:r w:rsidRPr="00206A7F">
        <w:rPr>
          <w:rFonts w:ascii="Book Antiqua" w:eastAsia="Aptos" w:hAnsi="Book Antiqua" w:cs="Times New Roman"/>
          <w:kern w:val="0"/>
          <w:u w:val="single"/>
          <w14:ligatures w14:val="none"/>
        </w:rPr>
        <w:t>six (6) months</w:t>
      </w:r>
      <w:r w:rsidRPr="00206A7F">
        <w:rPr>
          <w:rFonts w:ascii="Book Antiqua" w:eastAsia="Aptos" w:hAnsi="Book Antiqua" w:cs="Times New Roman"/>
          <w:kern w:val="0"/>
          <w14:ligatures w14:val="none"/>
        </w:rPr>
        <w:t xml:space="preserve"> from the date when the alleged unlawful discrimination, harassment, intimidation, or bullying occurred or the complainant first obtained knowledge of it.  The time for filing may be extended by </w:t>
      </w:r>
      <w:r w:rsidRPr="00206A7F">
        <w:rPr>
          <w:rFonts w:ascii="Book Antiqua" w:eastAsia="Calibri" w:hAnsi="Book Antiqua" w:cs="Times New Roman"/>
          <w:bCs/>
          <w:kern w:val="0"/>
          <w14:ligatures w14:val="none"/>
        </w:rPr>
        <w:t>JAA</w:t>
      </w:r>
      <w:r w:rsidRPr="00206A7F">
        <w:rPr>
          <w:rFonts w:ascii="Book Antiqua" w:eastAsia="Aptos" w:hAnsi="Book Antiqua" w:cs="Times New Roman"/>
          <w:kern w:val="0"/>
          <w14:ligatures w14:val="none"/>
        </w:rPr>
        <w:t xml:space="preserve"> for good cause upon written request from the complainant.</w:t>
      </w:r>
    </w:p>
    <w:p w:rsidR="00206A7F" w:rsidRPr="00206A7F" w:rsidP="00206A7F" w14:paraId="6E18EBC3" w14:textId="77777777">
      <w:pPr>
        <w:spacing w:after="0" w:line="240" w:lineRule="auto"/>
        <w:rPr>
          <w:rFonts w:ascii="Book Antiqua" w:eastAsia="Calibri" w:hAnsi="Book Antiqua" w:cs="Times New Roman"/>
          <w:kern w:val="0"/>
          <w14:ligatures w14:val="none"/>
        </w:rPr>
      </w:pPr>
    </w:p>
    <w:p w:rsidR="00206A7F" w:rsidRPr="00206A7F" w:rsidP="00206A7F" w14:paraId="4D199AE1"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A report or complaint regarding sexual harassment as defined under the Title IX regulations is not subject to the six-month timeline in the UCP.</w:t>
      </w:r>
    </w:p>
    <w:p w:rsidR="00206A7F" w:rsidRPr="00206A7F" w:rsidP="00206A7F" w14:paraId="6A578ED0"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 </w:t>
      </w:r>
    </w:p>
    <w:p w:rsidR="00206A7F" w:rsidRPr="00206A7F" w:rsidP="00206A7F" w14:paraId="3C0EC30A"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b/>
          <w:bCs/>
          <w:kern w:val="0"/>
          <w:u w:val="single"/>
          <w14:ligatures w14:val="none"/>
        </w:rPr>
        <w:t>How are discrimination complaints investigated?</w:t>
      </w:r>
      <w:r w:rsidRPr="00206A7F">
        <w:rPr>
          <w:rFonts w:ascii="Book Antiqua" w:eastAsia="Calibri" w:hAnsi="Book Antiqua" w:cs="Times New Roman"/>
          <w:b/>
          <w:bCs/>
          <w:kern w:val="0"/>
          <w:u w:val="single"/>
          <w14:ligatures w14:val="none"/>
        </w:rPr>
        <w:br/>
      </w:r>
    </w:p>
    <w:p w:rsidR="00206A7F" w:rsidRPr="00206A7F" w:rsidP="00206A7F" w14:paraId="1D5D2BAE"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 xml:space="preserve">Complaints of sexual harassment filed with </w:t>
      </w:r>
      <w:r w:rsidRPr="00206A7F">
        <w:rPr>
          <w:rFonts w:ascii="Book Antiqua" w:eastAsia="Calibri" w:hAnsi="Book Antiqua" w:cs="Times New Roman"/>
          <w:bCs/>
          <w:kern w:val="0"/>
          <w14:ligatures w14:val="none"/>
        </w:rPr>
        <w:t>JAA</w:t>
      </w:r>
      <w:r w:rsidRPr="00206A7F">
        <w:rPr>
          <w:rFonts w:ascii="Book Antiqua" w:eastAsia="Aptos" w:hAnsi="Book Antiqua" w:cs="Times New Roman"/>
          <w:kern w:val="0"/>
          <w14:ligatures w14:val="none"/>
        </w:rPr>
        <w:t xml:space="preserve"> </w:t>
      </w:r>
      <w:r w:rsidRPr="00206A7F">
        <w:rPr>
          <w:rFonts w:ascii="Book Antiqua" w:eastAsia="Calibri" w:hAnsi="Book Antiqua" w:cs="Times New Roman"/>
          <w:kern w:val="0"/>
          <w14:ligatures w14:val="none"/>
        </w:rPr>
        <w:t xml:space="preserve">are investigated in accordance with </w:t>
      </w:r>
      <w:r w:rsidRPr="00206A7F">
        <w:rPr>
          <w:rFonts w:ascii="Book Antiqua" w:eastAsia="Calibri" w:hAnsi="Book Antiqua" w:cs="Times New Roman"/>
          <w:bCs/>
          <w:kern w:val="0"/>
          <w14:ligatures w14:val="none"/>
        </w:rPr>
        <w:t>JAA’s</w:t>
      </w:r>
      <w:r w:rsidRPr="00206A7F">
        <w:rPr>
          <w:rFonts w:ascii="Book Antiqua" w:eastAsia="Aptos" w:hAnsi="Book Antiqua" w:cs="Times New Roman"/>
          <w:kern w:val="0"/>
          <w14:ligatures w14:val="none"/>
        </w:rPr>
        <w:t xml:space="preserve"> </w:t>
      </w:r>
      <w:r w:rsidRPr="00206A7F">
        <w:rPr>
          <w:rFonts w:ascii="Book Antiqua" w:eastAsia="Calibri" w:hAnsi="Book Antiqua" w:cs="Times New Roman"/>
          <w:kern w:val="0"/>
          <w14:ligatures w14:val="none"/>
        </w:rPr>
        <w:t xml:space="preserve">Title IX Policy and Grievance Procedures.  All other complaints of discrimination are investigated under the UCP.  </w:t>
      </w:r>
    </w:p>
    <w:p w:rsidR="00206A7F" w:rsidRPr="00206A7F" w:rsidP="00206A7F" w14:paraId="1A616BE9" w14:textId="77777777">
      <w:pPr>
        <w:spacing w:after="0" w:line="240" w:lineRule="auto"/>
        <w:rPr>
          <w:rFonts w:ascii="Book Antiqua" w:eastAsia="Calibri" w:hAnsi="Book Antiqua" w:cs="Times New Roman"/>
          <w:kern w:val="0"/>
          <w14:ligatures w14:val="none"/>
        </w:rPr>
      </w:pPr>
    </w:p>
    <w:p w:rsidR="00206A7F" w:rsidRPr="00206A7F" w:rsidP="00206A7F" w14:paraId="267577E1"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For federal guidance on how complaints may be further pursued, please see the following link:</w:t>
      </w:r>
    </w:p>
    <w:p w:rsidR="00206A7F" w:rsidRPr="00206A7F" w:rsidP="00206A7F" w14:paraId="0384A8FE" w14:textId="77777777">
      <w:pPr>
        <w:tabs>
          <w:tab w:val="left" w:pos="6405"/>
        </w:tabs>
        <w:spacing w:after="0" w:line="240" w:lineRule="auto"/>
        <w:ind w:firstLine="540"/>
        <w:rPr>
          <w:rFonts w:ascii="Book Antiqua" w:eastAsia="Times New Roman" w:hAnsi="Book Antiqua" w:cs="Times New Roman"/>
          <w:kern w:val="0"/>
          <w14:ligatures w14:val="none"/>
        </w:rPr>
      </w:pPr>
      <w:r w:rsidRPr="00206A7F">
        <w:rPr>
          <w:rFonts w:ascii="Book Antiqua" w:eastAsia="Times New Roman" w:hAnsi="Book Antiqua" w:cs="Times New Roman"/>
          <w:kern w:val="0"/>
          <w14:ligatures w14:val="none"/>
        </w:rPr>
        <w:tab/>
      </w:r>
    </w:p>
    <w:p w:rsidR="00206A7F" w:rsidRPr="00206A7F" w:rsidP="00206A7F" w14:paraId="1353B8DF" w14:textId="77777777">
      <w:pPr>
        <w:spacing w:after="200" w:line="276" w:lineRule="auto"/>
        <w:contextualSpacing/>
        <w:rPr>
          <w:rFonts w:ascii="Book Antiqua" w:eastAsia="Calibri" w:hAnsi="Book Antiqua" w:cs="Times New Roman"/>
          <w:kern w:val="0"/>
          <w14:ligatures w14:val="none"/>
        </w:rPr>
      </w:pPr>
      <w:hyperlink r:id="rId8" w:history="1">
        <w:r w:rsidRPr="00206A7F">
          <w:rPr>
            <w:rFonts w:ascii="Book Antiqua" w:eastAsia="Calibri" w:hAnsi="Book Antiqua" w:cs="Times New Roman"/>
            <w:color w:val="467886"/>
            <w:kern w:val="0"/>
            <w:u w:val="single"/>
            <w14:ligatures w14:val="none"/>
          </w:rPr>
          <w:t>United States Department of Education Office for Civil Rights</w:t>
        </w:r>
      </w:hyperlink>
    </w:p>
    <w:p w:rsidR="00206A7F" w:rsidRPr="00206A7F" w:rsidP="00206A7F" w14:paraId="0DE7F704" w14:textId="77777777">
      <w:pPr>
        <w:spacing w:after="0" w:line="240" w:lineRule="auto"/>
        <w:rPr>
          <w:rFonts w:ascii="Book Antiqua" w:eastAsia="Calibri" w:hAnsi="Book Antiqua" w:cs="Times New Roman"/>
          <w:b/>
          <w:bCs/>
          <w:kern w:val="0"/>
          <w:u w:val="single"/>
          <w14:ligatures w14:val="none"/>
        </w:rPr>
      </w:pPr>
    </w:p>
    <w:p w:rsidR="00206A7F" w:rsidRPr="00206A7F" w:rsidP="00206A7F" w14:paraId="16FC0A2E"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b/>
          <w:bCs/>
          <w:kern w:val="0"/>
          <w:u w:val="single"/>
          <w14:ligatures w14:val="none"/>
        </w:rPr>
        <w:t>Where can I get more information on the rights of a pupil and the public and the responsibilities of the public school under Title IX?</w:t>
      </w:r>
    </w:p>
    <w:p w:rsidR="00206A7F" w:rsidRPr="00206A7F" w:rsidP="00206A7F" w14:paraId="5E1F4340" w14:textId="77777777">
      <w:pPr>
        <w:spacing w:after="0" w:line="240" w:lineRule="auto"/>
        <w:ind w:left="900"/>
        <w:contextualSpacing/>
        <w:rPr>
          <w:rFonts w:ascii="Book Antiqua" w:eastAsia="Calibri" w:hAnsi="Book Antiqua" w:cs="Times New Roman"/>
          <w:kern w:val="0"/>
          <w14:ligatures w14:val="none"/>
        </w:rPr>
      </w:pPr>
    </w:p>
    <w:p w:rsidR="00206A7F" w:rsidRPr="00206A7F" w:rsidP="00206A7F" w14:paraId="7063E575" w14:textId="77777777">
      <w:pPr>
        <w:spacing w:after="0" w:line="240" w:lineRule="auto"/>
        <w:rPr>
          <w:rFonts w:ascii="Book Antiqua" w:eastAsia="Calibri" w:hAnsi="Book Antiqua" w:cs="Times New Roman"/>
          <w:kern w:val="0"/>
          <w14:ligatures w14:val="none"/>
        </w:rPr>
      </w:pPr>
      <w:r w:rsidRPr="00206A7F">
        <w:rPr>
          <w:rFonts w:ascii="Book Antiqua" w:eastAsia="Calibri" w:hAnsi="Book Antiqua" w:cs="Times New Roman"/>
          <w:kern w:val="0"/>
          <w14:ligatures w14:val="none"/>
        </w:rPr>
        <w:t>The following Internet resources are available to find more information regarding rights and responsibilities under Title IX:</w:t>
      </w:r>
    </w:p>
    <w:p w:rsidR="00206A7F" w:rsidRPr="00206A7F" w:rsidP="00206A7F" w14:paraId="4366B955" w14:textId="77777777">
      <w:pPr>
        <w:spacing w:after="0" w:line="240" w:lineRule="auto"/>
        <w:ind w:left="900"/>
        <w:contextualSpacing/>
        <w:rPr>
          <w:rFonts w:ascii="Book Antiqua" w:eastAsia="Times New Roman" w:hAnsi="Book Antiqua" w:cs="Times New Roman"/>
          <w:kern w:val="0"/>
          <w14:ligatures w14:val="none"/>
        </w:rPr>
      </w:pPr>
    </w:p>
    <w:p w:rsidR="00206A7F" w:rsidRPr="00206A7F" w:rsidP="00206A7F" w14:paraId="56E0C739" w14:textId="77777777">
      <w:pPr>
        <w:spacing w:after="0" w:line="240" w:lineRule="auto"/>
        <w:rPr>
          <w:rFonts w:ascii="Book Antiqua" w:eastAsia="Calibri" w:hAnsi="Book Antiqua" w:cs="Times New Roman"/>
          <w:kern w:val="0"/>
          <w14:ligatures w14:val="none"/>
        </w:rPr>
      </w:pPr>
      <w:hyperlink r:id="rId9" w:history="1">
        <w:r w:rsidRPr="00206A7F">
          <w:rPr>
            <w:rFonts w:ascii="Book Antiqua" w:eastAsia="Calibri" w:hAnsi="Book Antiqua" w:cs="Times New Roman"/>
            <w:color w:val="467886"/>
            <w:kern w:val="0"/>
            <w:u w:val="single"/>
            <w14:ligatures w14:val="none"/>
          </w:rPr>
          <w:t>California Department of Education Office of Equal Opportunity</w:t>
        </w:r>
      </w:hyperlink>
    </w:p>
    <w:p w:rsidR="00206A7F" w:rsidRPr="00206A7F" w:rsidP="00206A7F" w14:paraId="0847AB47" w14:textId="77777777">
      <w:pPr>
        <w:spacing w:after="0" w:line="240" w:lineRule="auto"/>
        <w:ind w:left="900"/>
        <w:contextualSpacing/>
        <w:rPr>
          <w:rFonts w:ascii="Book Antiqua" w:eastAsia="Times New Roman" w:hAnsi="Book Antiqua" w:cs="Times New Roman"/>
          <w:kern w:val="0"/>
          <w14:ligatures w14:val="none"/>
        </w:rPr>
      </w:pPr>
    </w:p>
    <w:p w:rsidR="00206A7F" w:rsidRPr="00206A7F" w:rsidP="00206A7F" w14:paraId="408286E7" w14:textId="77777777">
      <w:pPr>
        <w:spacing w:after="0" w:line="240" w:lineRule="auto"/>
        <w:rPr>
          <w:rFonts w:ascii="Book Antiqua" w:eastAsia="Calibri" w:hAnsi="Book Antiqua" w:cs="Times New Roman"/>
          <w:kern w:val="0"/>
          <w14:ligatures w14:val="none"/>
        </w:rPr>
      </w:pPr>
      <w:hyperlink r:id="rId10" w:history="1">
        <w:r w:rsidRPr="00206A7F">
          <w:rPr>
            <w:rFonts w:ascii="Book Antiqua" w:eastAsia="Calibri" w:hAnsi="Book Antiqua" w:cs="Times New Roman"/>
            <w:color w:val="467886"/>
            <w:kern w:val="0"/>
            <w:u w:val="single"/>
            <w14:ligatures w14:val="none"/>
          </w:rPr>
          <w:t>United States Department of Education Office for Civil Rights</w:t>
        </w:r>
      </w:hyperlink>
    </w:p>
    <w:p w:rsidR="00206A7F" w:rsidRPr="00206A7F" w:rsidP="00206A7F" w14:paraId="6A7E2A07" w14:textId="77777777">
      <w:pPr>
        <w:spacing w:after="0" w:line="240" w:lineRule="auto"/>
        <w:ind w:left="900"/>
        <w:contextualSpacing/>
        <w:rPr>
          <w:rFonts w:ascii="Book Antiqua" w:eastAsia="Times New Roman" w:hAnsi="Book Antiqua" w:cs="Times New Roman"/>
          <w:kern w:val="0"/>
          <w14:ligatures w14:val="none"/>
        </w:rPr>
      </w:pPr>
    </w:p>
    <w:p w:rsidR="00206A7F" w:rsidRPr="00206A7F" w:rsidP="00206A7F" w14:paraId="051F2DC8" w14:textId="77777777">
      <w:pPr>
        <w:shd w:val="clear" w:color="auto" w:fill="FFFFFF"/>
        <w:spacing w:after="0" w:line="240" w:lineRule="auto"/>
        <w:rPr>
          <w:rFonts w:ascii="Book Antiqua" w:eastAsia="Times New Roman" w:hAnsi="Book Antiqua" w:cs="Times New Roman"/>
          <w:color w:val="000000"/>
          <w:kern w:val="0"/>
          <w:lang w:eastAsia="zh-CN"/>
          <w14:ligatures w14:val="none"/>
        </w:rPr>
      </w:pPr>
      <w:r w:rsidRPr="00206A7F">
        <w:rPr>
          <w:rFonts w:ascii="Book Antiqua" w:eastAsia="Times New Roman" w:hAnsi="Book Antiqua" w:cs="Times New Roman"/>
          <w:color w:val="000000"/>
          <w:kern w:val="0"/>
          <w:lang w:eastAsia="zh-CN"/>
          <w14:ligatures w14:val="none"/>
        </w:rPr>
        <w:t xml:space="preserve">In addition, California law, like Title IX, prohibits discrimination on the basis of sex and affords individuals certain rights.  You can access those rights here: </w:t>
      </w:r>
      <w:hyperlink r:id="rId11" w:history="1">
        <w:r w:rsidRPr="00206A7F">
          <w:rPr>
            <w:rFonts w:ascii="Book Antiqua" w:eastAsia="Times New Roman" w:hAnsi="Book Antiqua" w:cs="Times New Roman"/>
            <w:color w:val="467886"/>
            <w:kern w:val="0"/>
            <w:u w:val="single"/>
            <w:lang w:eastAsia="zh-CN"/>
            <w14:ligatures w14:val="none"/>
          </w:rPr>
          <w:t>Rights Afforded Under Education Code Section 221.8</w:t>
        </w:r>
      </w:hyperlink>
      <w:r w:rsidRPr="00206A7F">
        <w:rPr>
          <w:rFonts w:ascii="Book Antiqua" w:eastAsia="Times New Roman" w:hAnsi="Book Antiqua" w:cs="Times New Roman"/>
          <w:color w:val="000000"/>
          <w:kern w:val="0"/>
          <w:u w:val="single"/>
          <w:lang w:eastAsia="zh-CN"/>
          <w14:ligatures w14:val="none"/>
        </w:rPr>
        <w:t>.</w:t>
      </w:r>
      <w:r w:rsidRPr="00206A7F">
        <w:rPr>
          <w:rFonts w:ascii="Book Antiqua" w:eastAsia="Times New Roman" w:hAnsi="Book Antiqua" w:cs="Times New Roman"/>
          <w:color w:val="000000"/>
          <w:kern w:val="0"/>
          <w:lang w:eastAsia="zh-CN"/>
          <w14:ligatures w14:val="none"/>
        </w:rPr>
        <w:t xml:space="preserve">   Specifically, you have the right to (when applicable): </w:t>
      </w:r>
    </w:p>
    <w:p w:rsidR="00206A7F" w:rsidRPr="00206A7F" w:rsidP="00206A7F" w14:paraId="182BFFF7" w14:textId="77777777">
      <w:pPr>
        <w:shd w:val="clear" w:color="auto" w:fill="FFFFFF"/>
        <w:spacing w:after="0" w:line="240" w:lineRule="auto"/>
        <w:rPr>
          <w:rFonts w:ascii="Book Antiqua" w:eastAsia="Times New Roman" w:hAnsi="Book Antiqua" w:cs="Times New Roman"/>
          <w:color w:val="000000"/>
          <w:kern w:val="0"/>
          <w:lang w:eastAsia="zh-CN"/>
          <w14:ligatures w14:val="none"/>
        </w:rPr>
      </w:pPr>
    </w:p>
    <w:p w:rsidR="00206A7F" w:rsidRPr="00206A7F" w:rsidP="00206A7F" w14:paraId="6B0763F2" w14:textId="77777777">
      <w:pPr>
        <w:numPr>
          <w:ilvl w:val="0"/>
          <w:numId w:val="2"/>
        </w:numPr>
        <w:shd w:val="clear" w:color="auto" w:fill="FFFFFF"/>
        <w:spacing w:after="0" w:line="240" w:lineRule="auto"/>
        <w:rPr>
          <w:rFonts w:ascii="Book Antiqua" w:eastAsia="Times New Roman" w:hAnsi="Book Antiqua" w:cs="Times New Roman"/>
          <w:color w:val="000000"/>
          <w:kern w:val="0"/>
          <w:lang w:eastAsia="zh-CN"/>
          <w14:ligatures w14:val="none"/>
        </w:rPr>
      </w:pPr>
      <w:r w:rsidRPr="00206A7F">
        <w:rPr>
          <w:rFonts w:ascii="Book Antiqua" w:eastAsia="Times New Roman" w:hAnsi="Book Antiqua" w:cs="Times New Roman"/>
          <w:color w:val="000000"/>
          <w:kern w:val="0"/>
          <w:lang w:eastAsia="zh-CN"/>
          <w14:ligatures w14:val="none"/>
        </w:rPr>
        <w:t xml:space="preserve">Fair and equitable treatment and you shall not be discriminated against based on your sex. </w:t>
      </w:r>
    </w:p>
    <w:p w:rsidR="00206A7F" w:rsidRPr="00206A7F" w:rsidP="00206A7F" w14:paraId="1592241E" w14:textId="77777777">
      <w:pPr>
        <w:numPr>
          <w:ilvl w:val="0"/>
          <w:numId w:val="2"/>
        </w:numPr>
        <w:shd w:val="clear" w:color="auto" w:fill="FFFFFF"/>
        <w:spacing w:after="0" w:line="240" w:lineRule="auto"/>
        <w:rPr>
          <w:rFonts w:ascii="Book Antiqua" w:eastAsia="Times New Roman" w:hAnsi="Book Antiqua" w:cs="Times New Roman"/>
          <w:color w:val="000000"/>
          <w:kern w:val="0"/>
          <w:lang w:eastAsia="zh-CN"/>
          <w14:ligatures w14:val="none"/>
        </w:rPr>
      </w:pPr>
      <w:r w:rsidRPr="00206A7F">
        <w:rPr>
          <w:rFonts w:ascii="Book Antiqua" w:eastAsia="Times New Roman" w:hAnsi="Book Antiqua" w:cs="Times New Roman"/>
          <w:color w:val="000000"/>
          <w:kern w:val="0"/>
          <w:lang w:eastAsia="zh-CN"/>
          <w14:ligatures w14:val="none"/>
        </w:rPr>
        <w:t xml:space="preserve">Be provided with an equitable opportunity to participate in all academic extracurricular activities, including athletics. </w:t>
      </w:r>
    </w:p>
    <w:p w:rsidR="00206A7F" w:rsidRPr="00206A7F" w:rsidP="00206A7F" w14:paraId="22804747" w14:textId="77777777">
      <w:pPr>
        <w:numPr>
          <w:ilvl w:val="0"/>
          <w:numId w:val="2"/>
        </w:numPr>
        <w:shd w:val="clear" w:color="auto" w:fill="FFFFFF"/>
        <w:spacing w:after="0" w:line="240" w:lineRule="auto"/>
        <w:rPr>
          <w:rFonts w:ascii="Book Antiqua" w:eastAsia="Times New Roman" w:hAnsi="Book Antiqua" w:cs="Times New Roman"/>
          <w:color w:val="000000"/>
          <w:kern w:val="0"/>
          <w:lang w:eastAsia="zh-CN"/>
          <w14:ligatures w14:val="none"/>
        </w:rPr>
      </w:pPr>
      <w:r w:rsidRPr="00206A7F">
        <w:rPr>
          <w:rFonts w:ascii="Book Antiqua" w:eastAsia="Times New Roman" w:hAnsi="Book Antiqua" w:cs="Times New Roman"/>
          <w:color w:val="000000"/>
          <w:kern w:val="0"/>
          <w:lang w:eastAsia="zh-CN"/>
          <w14:ligatures w14:val="none"/>
        </w:rPr>
        <w:t xml:space="preserve">Inquire of the athletic director of your school as to the athletic opportunities offered by the school. </w:t>
      </w:r>
    </w:p>
    <w:p w:rsidR="00206A7F" w:rsidRPr="00206A7F" w:rsidP="00206A7F" w14:paraId="2E3B20FF" w14:textId="77777777">
      <w:pPr>
        <w:numPr>
          <w:ilvl w:val="0"/>
          <w:numId w:val="2"/>
        </w:numPr>
        <w:shd w:val="clear" w:color="auto" w:fill="FFFFFF"/>
        <w:spacing w:after="0" w:line="240" w:lineRule="auto"/>
        <w:rPr>
          <w:rFonts w:ascii="Book Antiqua" w:eastAsia="Times New Roman" w:hAnsi="Book Antiqua" w:cs="Times New Roman"/>
          <w:color w:val="000000"/>
          <w:kern w:val="0"/>
          <w:lang w:eastAsia="zh-CN"/>
          <w14:ligatures w14:val="none"/>
        </w:rPr>
      </w:pPr>
      <w:r w:rsidRPr="00206A7F">
        <w:rPr>
          <w:rFonts w:ascii="Book Antiqua" w:eastAsia="Times New Roman" w:hAnsi="Book Antiqua" w:cs="Times New Roman"/>
          <w:color w:val="000000"/>
          <w:kern w:val="0"/>
          <w:lang w:eastAsia="zh-CN"/>
          <w14:ligatures w14:val="none"/>
        </w:rPr>
        <w:t xml:space="preserve">Apply for athletic scholarships. </w:t>
      </w:r>
    </w:p>
    <w:p w:rsidR="00206A7F" w:rsidRPr="00206A7F" w:rsidP="00206A7F" w14:paraId="2D6DA4F0" w14:textId="77777777">
      <w:pPr>
        <w:numPr>
          <w:ilvl w:val="0"/>
          <w:numId w:val="2"/>
        </w:numPr>
        <w:shd w:val="clear" w:color="auto" w:fill="FFFFFF"/>
        <w:spacing w:after="0" w:line="240" w:lineRule="auto"/>
        <w:rPr>
          <w:rFonts w:ascii="Book Antiqua" w:eastAsia="Times New Roman" w:hAnsi="Book Antiqua" w:cs="Times New Roman"/>
          <w:color w:val="000000"/>
          <w:kern w:val="0"/>
          <w:lang w:eastAsia="zh-CN"/>
          <w14:ligatures w14:val="none"/>
        </w:rPr>
      </w:pPr>
      <w:r w:rsidRPr="00206A7F">
        <w:rPr>
          <w:rFonts w:ascii="Book Antiqua" w:eastAsia="Times New Roman" w:hAnsi="Book Antiqua" w:cs="Times New Roman"/>
          <w:color w:val="000000"/>
          <w:kern w:val="0"/>
          <w:lang w:eastAsia="zh-CN"/>
          <w14:ligatures w14:val="none"/>
        </w:rPr>
        <w:t xml:space="preserve">Receive equitable treatment and benefits in the provision of all of the following: (i) equipment and supplies; (ii) scheduling of games and practices; (iii) transportation and daily allowances; (iv) access to tutoring; (v) coaching; (vi) locker rooms; (vii) practice and competitive facilities; (viii) medical and training facilities and services; and (ix) publicity. </w:t>
      </w:r>
    </w:p>
    <w:p w:rsidR="00206A7F" w:rsidRPr="00206A7F" w:rsidP="00206A7F" w14:paraId="625D5DE8" w14:textId="77777777">
      <w:pPr>
        <w:numPr>
          <w:ilvl w:val="0"/>
          <w:numId w:val="2"/>
        </w:numPr>
        <w:shd w:val="clear" w:color="auto" w:fill="FFFFFF"/>
        <w:spacing w:after="0" w:line="240" w:lineRule="auto"/>
        <w:rPr>
          <w:rFonts w:ascii="Book Antiqua" w:eastAsia="Times New Roman" w:hAnsi="Book Antiqua" w:cs="Times New Roman"/>
          <w:color w:val="000000"/>
          <w:kern w:val="0"/>
          <w:lang w:eastAsia="zh-CN"/>
          <w14:ligatures w14:val="none"/>
        </w:rPr>
      </w:pPr>
      <w:r w:rsidRPr="00206A7F">
        <w:rPr>
          <w:rFonts w:ascii="Book Antiqua" w:eastAsia="Times New Roman" w:hAnsi="Book Antiqua" w:cs="Times New Roman"/>
          <w:color w:val="000000"/>
          <w:kern w:val="0"/>
          <w:lang w:eastAsia="zh-CN"/>
          <w14:ligatures w14:val="none"/>
        </w:rPr>
        <w:t>Have access to a gender equity coordinator to answer questions regarding gender equity laws.</w:t>
      </w:r>
    </w:p>
    <w:p w:rsidR="00206A7F" w:rsidRPr="00206A7F" w:rsidP="00206A7F" w14:paraId="32E87B80" w14:textId="77777777">
      <w:pPr>
        <w:numPr>
          <w:ilvl w:val="0"/>
          <w:numId w:val="2"/>
        </w:numPr>
        <w:shd w:val="clear" w:color="auto" w:fill="FFFFFF"/>
        <w:spacing w:after="0" w:line="240" w:lineRule="auto"/>
        <w:rPr>
          <w:rFonts w:ascii="Book Antiqua" w:eastAsia="Times New Roman" w:hAnsi="Book Antiqua" w:cs="Times New Roman"/>
          <w:color w:val="000000"/>
          <w:kern w:val="0"/>
          <w:lang w:eastAsia="zh-CN"/>
          <w14:ligatures w14:val="none"/>
        </w:rPr>
      </w:pPr>
      <w:r w:rsidRPr="00206A7F">
        <w:rPr>
          <w:rFonts w:ascii="Book Antiqua" w:eastAsia="Times New Roman" w:hAnsi="Book Antiqua" w:cs="Times New Roman"/>
          <w:color w:val="000000"/>
          <w:kern w:val="0"/>
          <w:lang w:eastAsia="zh-CN"/>
          <w14:ligatures w14:val="none"/>
        </w:rPr>
        <w:t xml:space="preserve">Contact the State Department of Education and the California Interscholastic Federation to access information on gender equity laws. </w:t>
      </w:r>
    </w:p>
    <w:p w:rsidR="00206A7F" w:rsidRPr="00206A7F" w:rsidP="00206A7F" w14:paraId="1BD6BEC2" w14:textId="77777777">
      <w:pPr>
        <w:numPr>
          <w:ilvl w:val="0"/>
          <w:numId w:val="2"/>
        </w:numPr>
        <w:shd w:val="clear" w:color="auto" w:fill="FFFFFF"/>
        <w:spacing w:after="0" w:line="240" w:lineRule="auto"/>
        <w:rPr>
          <w:rFonts w:ascii="Book Antiqua" w:eastAsia="Times New Roman" w:hAnsi="Book Antiqua" w:cs="Times New Roman"/>
          <w:color w:val="000000"/>
          <w:kern w:val="0"/>
          <w:lang w:eastAsia="zh-CN"/>
          <w14:ligatures w14:val="none"/>
        </w:rPr>
      </w:pPr>
      <w:r w:rsidRPr="00206A7F">
        <w:rPr>
          <w:rFonts w:ascii="Book Antiqua" w:eastAsia="Times New Roman" w:hAnsi="Book Antiqua" w:cs="Times New Roman"/>
          <w:color w:val="000000"/>
          <w:kern w:val="0"/>
          <w:lang w:eastAsia="zh-CN"/>
          <w14:ligatures w14:val="none"/>
        </w:rPr>
        <w:t xml:space="preserve">File a confidential discrimination complaint with the United States Office of Civil Rights or the State Department of Education if you believe you have been discriminated against or if you believe you have received unequal treatment on the basis of your sex. </w:t>
      </w:r>
    </w:p>
    <w:p w:rsidR="00206A7F" w:rsidRPr="00206A7F" w:rsidP="00206A7F" w14:paraId="1860E97A" w14:textId="77777777">
      <w:pPr>
        <w:numPr>
          <w:ilvl w:val="0"/>
          <w:numId w:val="2"/>
        </w:numPr>
        <w:shd w:val="clear" w:color="auto" w:fill="FFFFFF"/>
        <w:spacing w:after="0" w:line="240" w:lineRule="auto"/>
        <w:rPr>
          <w:rFonts w:ascii="Book Antiqua" w:eastAsia="Aptos" w:hAnsi="Book Antiqua" w:cs="Times New Roman"/>
          <w:kern w:val="0"/>
          <w14:ligatures w14:val="none"/>
        </w:rPr>
      </w:pPr>
      <w:r w:rsidRPr="00206A7F">
        <w:rPr>
          <w:rFonts w:ascii="Book Antiqua" w:eastAsia="Times New Roman" w:hAnsi="Book Antiqua" w:cs="Times New Roman"/>
          <w:color w:val="000000"/>
          <w:kern w:val="0"/>
          <w:lang w:eastAsia="zh-CN"/>
          <w14:ligatures w14:val="none"/>
        </w:rPr>
        <w:t xml:space="preserve">Pursue civil remedies if you have been discriminated against. </w:t>
      </w:r>
    </w:p>
    <w:p w:rsidR="00206A7F" w:rsidRPr="00206A7F" w:rsidP="00206A7F" w14:paraId="58E9AE5B" w14:textId="77777777">
      <w:pPr>
        <w:numPr>
          <w:ilvl w:val="0"/>
          <w:numId w:val="2"/>
        </w:numPr>
        <w:shd w:val="clear" w:color="auto" w:fill="FFFFFF"/>
        <w:spacing w:after="0" w:line="240" w:lineRule="auto"/>
        <w:rPr>
          <w:rFonts w:ascii="Book Antiqua" w:eastAsia="Aptos" w:hAnsi="Book Antiqua" w:cs="Times New Roman"/>
          <w:kern w:val="0"/>
          <w14:ligatures w14:val="none"/>
        </w:rPr>
      </w:pPr>
      <w:r w:rsidRPr="00206A7F">
        <w:rPr>
          <w:rFonts w:ascii="Book Antiqua" w:eastAsia="Times New Roman" w:hAnsi="Book Antiqua" w:cs="Times New Roman"/>
          <w:color w:val="000000"/>
          <w:kern w:val="0"/>
          <w:lang w:eastAsia="zh-CN"/>
          <w14:ligatures w14:val="none"/>
        </w:rPr>
        <w:t>Be protected against retaliation if you file a discrimination complaint.</w:t>
      </w:r>
    </w:p>
    <w:p w:rsidR="00206A7F" w:rsidRPr="00206A7F" w:rsidP="00206A7F" w14:paraId="17D2CC60" w14:textId="77777777">
      <w:pPr>
        <w:spacing w:after="0" w:line="240" w:lineRule="auto"/>
        <w:rPr>
          <w:rFonts w:ascii="Book Antiqua" w:eastAsia="Times New Roman" w:hAnsi="Book Antiqua" w:cs="Times New Roman"/>
          <w:kern w:val="0"/>
          <w14:ligatures w14:val="none"/>
        </w:rPr>
      </w:pPr>
    </w:p>
    <w:p w:rsidR="00853DE2" w:rsidRPr="00206A7F" w:rsidP="00206A7F" w14:paraId="110C4942" w14:textId="77777777">
      <w:pPr>
        <w:rPr>
          <w:rFonts w:ascii="Book Antiqua" w:hAnsi="Book Antiqua"/>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Book Antiqua" w:hAnsi="Book Antiqua" w:cs="Times New Roman"/>
      </w:rPr>
      <w:id w:val="-1754044638"/>
      <w:docPartObj>
        <w:docPartGallery w:val="Page Numbers (Bottom of Page)"/>
        <w:docPartUnique/>
      </w:docPartObj>
    </w:sdtPr>
    <w:sdtEndPr>
      <w:rPr>
        <w:noProof/>
      </w:rPr>
    </w:sdtEndPr>
    <w:sdtContent>
      <w:p w:rsidR="00F4757A" w:rsidRPr="00F503EE" w:rsidP="00F503EE" w14:paraId="0519BD81" w14:textId="4057B5E7">
        <w:pPr>
          <w:pStyle w:val="Footer"/>
          <w:jc w:val="center"/>
          <w:rPr>
            <w:rFonts w:ascii="Book Antiqua" w:hAnsi="Book Antiqua" w:cs="Times New Roman"/>
          </w:rPr>
        </w:pPr>
        <w:r w:rsidRPr="00F503EE">
          <w:rPr>
            <w:rFonts w:ascii="Book Antiqua" w:hAnsi="Book Antiqua" w:cs="Times New Roman"/>
          </w:rPr>
          <w:fldChar w:fldCharType="begin"/>
        </w:r>
        <w:r w:rsidRPr="00F503EE">
          <w:rPr>
            <w:rFonts w:ascii="Book Antiqua" w:hAnsi="Book Antiqua" w:cs="Times New Roman"/>
          </w:rPr>
          <w:instrText xml:space="preserve"> PAGE   \* MERGEFORMAT </w:instrText>
        </w:r>
        <w:r w:rsidRPr="00F503EE">
          <w:rPr>
            <w:rFonts w:ascii="Book Antiqua" w:hAnsi="Book Antiqua" w:cs="Times New Roman"/>
          </w:rPr>
          <w:fldChar w:fldCharType="separate"/>
        </w:r>
        <w:r w:rsidRPr="00F503EE">
          <w:rPr>
            <w:rFonts w:ascii="Book Antiqua" w:hAnsi="Book Antiqua" w:cs="Times New Roman"/>
            <w:noProof/>
          </w:rPr>
          <w:t>2</w:t>
        </w:r>
        <w:r w:rsidRPr="00F503EE">
          <w:rPr>
            <w:rFonts w:ascii="Book Antiqua" w:hAnsi="Book Antiqua" w:cs="Times New Roman"/>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E5351"/>
    <w:multiLevelType w:val="multilevel"/>
    <w:tmpl w:val="240E7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9D57ED"/>
    <w:multiLevelType w:val="hybridMultilevel"/>
    <w:tmpl w:val="AAA61E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0299760">
    <w:abstractNumId w:val="0"/>
  </w:num>
  <w:num w:numId="2" w16cid:durableId="191511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F9"/>
    <w:rsid w:val="00007F44"/>
    <w:rsid w:val="000B4CA6"/>
    <w:rsid w:val="00206A7F"/>
    <w:rsid w:val="00220BF9"/>
    <w:rsid w:val="002B463F"/>
    <w:rsid w:val="002F7794"/>
    <w:rsid w:val="005204EA"/>
    <w:rsid w:val="00677B15"/>
    <w:rsid w:val="00713541"/>
    <w:rsid w:val="00853DE2"/>
    <w:rsid w:val="008767BE"/>
    <w:rsid w:val="008E11FC"/>
    <w:rsid w:val="009A1C23"/>
    <w:rsid w:val="00A75198"/>
    <w:rsid w:val="00AD5E32"/>
    <w:rsid w:val="00B747D4"/>
    <w:rsid w:val="00DD17A5"/>
    <w:rsid w:val="00EA41EC"/>
    <w:rsid w:val="00F4757A"/>
    <w:rsid w:val="00F503E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1D6CB1E"/>
  <w15:chartTrackingRefBased/>
  <w15:docId w15:val="{75B8824C-8910-4629-9857-CECE9F20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F9"/>
    <w:rPr>
      <w:rFonts w:eastAsiaTheme="majorEastAsia" w:cstheme="majorBidi"/>
      <w:color w:val="272727" w:themeColor="text1" w:themeTint="D8"/>
    </w:rPr>
  </w:style>
  <w:style w:type="paragraph" w:styleId="Title">
    <w:name w:val="Title"/>
    <w:basedOn w:val="Normal"/>
    <w:next w:val="Normal"/>
    <w:link w:val="TitleChar"/>
    <w:uiPriority w:val="10"/>
    <w:qFormat/>
    <w:rsid w:val="0022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F9"/>
    <w:pPr>
      <w:spacing w:before="160"/>
      <w:jc w:val="center"/>
    </w:pPr>
    <w:rPr>
      <w:i/>
      <w:iCs/>
      <w:color w:val="404040" w:themeColor="text1" w:themeTint="BF"/>
    </w:rPr>
  </w:style>
  <w:style w:type="character" w:customStyle="1" w:styleId="QuoteChar">
    <w:name w:val="Quote Char"/>
    <w:basedOn w:val="DefaultParagraphFont"/>
    <w:link w:val="Quote"/>
    <w:uiPriority w:val="29"/>
    <w:rsid w:val="00220BF9"/>
    <w:rPr>
      <w:i/>
      <w:iCs/>
      <w:color w:val="404040" w:themeColor="text1" w:themeTint="BF"/>
    </w:rPr>
  </w:style>
  <w:style w:type="paragraph" w:styleId="ListParagraph">
    <w:name w:val="List Paragraph"/>
    <w:basedOn w:val="Normal"/>
    <w:uiPriority w:val="34"/>
    <w:qFormat/>
    <w:rsid w:val="00220BF9"/>
    <w:pPr>
      <w:ind w:left="720"/>
      <w:contextualSpacing/>
    </w:pPr>
  </w:style>
  <w:style w:type="character" w:styleId="IntenseEmphasis">
    <w:name w:val="Intense Emphasis"/>
    <w:basedOn w:val="DefaultParagraphFont"/>
    <w:uiPriority w:val="21"/>
    <w:qFormat/>
    <w:rsid w:val="00220BF9"/>
    <w:rPr>
      <w:i/>
      <w:iCs/>
      <w:color w:val="0F4761" w:themeColor="accent1" w:themeShade="BF"/>
    </w:rPr>
  </w:style>
  <w:style w:type="paragraph" w:styleId="IntenseQuote">
    <w:name w:val="Intense Quote"/>
    <w:basedOn w:val="Normal"/>
    <w:next w:val="Normal"/>
    <w:link w:val="IntenseQuoteChar"/>
    <w:uiPriority w:val="30"/>
    <w:qFormat/>
    <w:rsid w:val="00220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BF9"/>
    <w:rPr>
      <w:i/>
      <w:iCs/>
      <w:color w:val="0F4761" w:themeColor="accent1" w:themeShade="BF"/>
    </w:rPr>
  </w:style>
  <w:style w:type="character" w:styleId="IntenseReference">
    <w:name w:val="Intense Reference"/>
    <w:basedOn w:val="DefaultParagraphFont"/>
    <w:uiPriority w:val="32"/>
    <w:qFormat/>
    <w:rsid w:val="00220BF9"/>
    <w:rPr>
      <w:b/>
      <w:bCs/>
      <w:smallCaps/>
      <w:color w:val="0F4761" w:themeColor="accent1" w:themeShade="BF"/>
      <w:spacing w:val="5"/>
    </w:rPr>
  </w:style>
  <w:style w:type="character" w:styleId="Hyperlink">
    <w:name w:val="Hyperlink"/>
    <w:basedOn w:val="DefaultParagraphFont"/>
    <w:uiPriority w:val="99"/>
    <w:unhideWhenUsed/>
    <w:rsid w:val="00220BF9"/>
    <w:rPr>
      <w:color w:val="467886" w:themeColor="hyperlink"/>
      <w:u w:val="single"/>
    </w:rPr>
  </w:style>
  <w:style w:type="character" w:styleId="UnresolvedMention">
    <w:name w:val="Unresolved Mention"/>
    <w:basedOn w:val="DefaultParagraphFont"/>
    <w:uiPriority w:val="99"/>
    <w:semiHidden/>
    <w:unhideWhenUsed/>
    <w:rsid w:val="00220BF9"/>
    <w:rPr>
      <w:color w:val="605E5C"/>
      <w:shd w:val="clear" w:color="auto" w:fill="E1DFDD"/>
    </w:rPr>
  </w:style>
  <w:style w:type="paragraph" w:styleId="Revision">
    <w:name w:val="Revision"/>
    <w:hidden/>
    <w:uiPriority w:val="99"/>
    <w:semiHidden/>
    <w:rsid w:val="00DD17A5"/>
    <w:pPr>
      <w:spacing w:after="0" w:line="240" w:lineRule="auto"/>
    </w:pPr>
  </w:style>
  <w:style w:type="character" w:styleId="FollowedHyperlink">
    <w:name w:val="FollowedHyperlink"/>
    <w:basedOn w:val="DefaultParagraphFont"/>
    <w:uiPriority w:val="99"/>
    <w:semiHidden/>
    <w:unhideWhenUsed/>
    <w:rsid w:val="00DD17A5"/>
    <w:rPr>
      <w:color w:val="96607D" w:themeColor="followedHyperlink"/>
      <w:u w:val="single"/>
    </w:rPr>
  </w:style>
  <w:style w:type="character" w:styleId="CommentReference">
    <w:name w:val="annotation reference"/>
    <w:basedOn w:val="DefaultParagraphFont"/>
    <w:uiPriority w:val="99"/>
    <w:semiHidden/>
    <w:unhideWhenUsed/>
    <w:rsid w:val="00AD5E32"/>
    <w:rPr>
      <w:sz w:val="16"/>
      <w:szCs w:val="16"/>
    </w:rPr>
  </w:style>
  <w:style w:type="paragraph" w:styleId="CommentText">
    <w:name w:val="annotation text"/>
    <w:basedOn w:val="Normal"/>
    <w:link w:val="CommentTextChar"/>
    <w:uiPriority w:val="99"/>
    <w:unhideWhenUsed/>
    <w:rsid w:val="00AD5E32"/>
    <w:pPr>
      <w:spacing w:line="240" w:lineRule="auto"/>
    </w:pPr>
    <w:rPr>
      <w:sz w:val="20"/>
      <w:szCs w:val="20"/>
    </w:rPr>
  </w:style>
  <w:style w:type="character" w:customStyle="1" w:styleId="CommentTextChar">
    <w:name w:val="Comment Text Char"/>
    <w:basedOn w:val="DefaultParagraphFont"/>
    <w:link w:val="CommentText"/>
    <w:uiPriority w:val="99"/>
    <w:rsid w:val="00AD5E32"/>
    <w:rPr>
      <w:sz w:val="20"/>
      <w:szCs w:val="20"/>
    </w:rPr>
  </w:style>
  <w:style w:type="paragraph" w:styleId="CommentSubject">
    <w:name w:val="annotation subject"/>
    <w:basedOn w:val="CommentText"/>
    <w:next w:val="CommentText"/>
    <w:link w:val="CommentSubjectChar"/>
    <w:uiPriority w:val="99"/>
    <w:semiHidden/>
    <w:unhideWhenUsed/>
    <w:rsid w:val="00AD5E32"/>
    <w:rPr>
      <w:b/>
      <w:bCs/>
    </w:rPr>
  </w:style>
  <w:style w:type="character" w:customStyle="1" w:styleId="CommentSubjectChar">
    <w:name w:val="Comment Subject Char"/>
    <w:basedOn w:val="CommentTextChar"/>
    <w:link w:val="CommentSubject"/>
    <w:uiPriority w:val="99"/>
    <w:semiHidden/>
    <w:rsid w:val="00AD5E32"/>
    <w:rPr>
      <w:b/>
      <w:bCs/>
      <w:sz w:val="20"/>
      <w:szCs w:val="20"/>
    </w:rPr>
  </w:style>
  <w:style w:type="paragraph" w:styleId="Header">
    <w:name w:val="header"/>
    <w:basedOn w:val="Normal"/>
    <w:link w:val="HeaderChar"/>
    <w:uiPriority w:val="99"/>
    <w:unhideWhenUsed/>
    <w:rsid w:val="00F47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57A"/>
  </w:style>
  <w:style w:type="paragraph" w:styleId="Footer">
    <w:name w:val="footer"/>
    <w:basedOn w:val="Normal"/>
    <w:link w:val="FooterChar"/>
    <w:uiPriority w:val="99"/>
    <w:unhideWhenUsed/>
    <w:rsid w:val="00F47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7A"/>
  </w:style>
  <w:style w:type="character" w:customStyle="1" w:styleId="DocID">
    <w:name w:val="DocID"/>
    <w:basedOn w:val="DefaultParagraphFont"/>
    <w:rsid w:val="00F4757A"/>
    <w:rPr>
      <w:rFonts w:ascii="Franklin Gothic Book" w:hAnsi="Franklin Gothic Book"/>
      <w:b w:val="0"/>
      <w:i w:val="0"/>
      <w:caps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d.gov/laws-and-policy/civil-rights-laws/title-ix-and-sex-discrimination" TargetMode="External" /><Relationship Id="rId11" Type="http://schemas.openxmlformats.org/officeDocument/2006/relationships/hyperlink" Target="https://leginfo.legislature.ca.gov/faces/codes_displaySection.xhtml?lawCode=EDC&amp;sectionNum=221.8."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CR@ed.gov" TargetMode="External" /><Relationship Id="rId6" Type="http://schemas.openxmlformats.org/officeDocument/2006/relationships/hyperlink" Target="https://ocrcas.ed.gov/office-for-civil-rights-discrimination-complaint-form" TargetMode="External" /><Relationship Id="rId7" Type="http://schemas.openxmlformats.org/officeDocument/2006/relationships/hyperlink" Target="https://ocrcas.ed.gov/" TargetMode="External" /><Relationship Id="rId8" Type="http://schemas.openxmlformats.org/officeDocument/2006/relationships/hyperlink" Target="https://www.ed.gov/laws-and-policy/civil-rights-laws/file-complaint" TargetMode="External" /><Relationship Id="rId9" Type="http://schemas.openxmlformats.org/officeDocument/2006/relationships/hyperlink" Target="https://www.cde.ca.gov/re/di/eo/genequitytitleix.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E0EB-2FAC-4324-BA92-C91FB769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2025-12-09T19:12:21Z</dcterms:created>
  <dcterms:modified xsi:type="dcterms:W3CDTF">2025-12-09T19:12:21Z</dcterms:modified>
</cp:coreProperties>
</file>